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bCs/>
          <w:iCs/>
        </w:rPr>
      </w:pPr>
      <w:r w:rsidRPr="00A11663">
        <w:rPr>
          <w:b/>
          <w:iCs/>
        </w:rPr>
        <w:t xml:space="preserve">для специальности </w:t>
      </w:r>
      <w:r w:rsidR="00B55CE1" w:rsidRPr="00B55CE1">
        <w:rPr>
          <w:b/>
          <w:bCs/>
          <w:iCs/>
        </w:rPr>
        <w:t>38.02.03 Операционная деятельность в логистике</w:t>
      </w:r>
      <w:r w:rsidR="00B55CE1">
        <w:rPr>
          <w:b/>
          <w:bCs/>
          <w:iCs/>
        </w:rPr>
        <w:t>.</w:t>
      </w:r>
    </w:p>
    <w:p w:rsidR="00B55CE1" w:rsidRPr="00A11663" w:rsidRDefault="00B55CE1" w:rsidP="00D93F40">
      <w:pPr>
        <w:pStyle w:val="ac"/>
        <w:spacing w:before="0" w:beforeAutospacing="0" w:after="0" w:afterAutospacing="0"/>
        <w:ind w:firstLine="567"/>
        <w:jc w:val="center"/>
      </w:pPr>
    </w:p>
    <w:p w:rsidR="00740597" w:rsidRPr="00B55CE1" w:rsidRDefault="00740597" w:rsidP="00B55CE1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5CE1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B55CE1">
        <w:rPr>
          <w:rFonts w:ascii="Times New Roman" w:hAnsi="Times New Roman"/>
          <w:b/>
          <w:sz w:val="24"/>
          <w:szCs w:val="24"/>
        </w:rPr>
        <w:t xml:space="preserve"> </w:t>
      </w:r>
      <w:r w:rsidRPr="00B55CE1">
        <w:rPr>
          <w:rFonts w:ascii="Times New Roman" w:hAnsi="Times New Roman"/>
          <w:b/>
          <w:sz w:val="24"/>
          <w:szCs w:val="24"/>
        </w:rPr>
        <w:t>программы</w:t>
      </w:r>
      <w:r w:rsidR="00B55CE1">
        <w:rPr>
          <w:rFonts w:ascii="Times New Roman" w:hAnsi="Times New Roman"/>
          <w:b/>
          <w:sz w:val="24"/>
          <w:szCs w:val="24"/>
        </w:rPr>
        <w:t>.</w:t>
      </w:r>
    </w:p>
    <w:p w:rsidR="00BB2D8B" w:rsidRPr="00B55CE1" w:rsidRDefault="00483379" w:rsidP="00B55CE1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B55CE1">
        <w:rPr>
          <w:rFonts w:ascii="Times New Roman" w:hAnsi="Times New Roman"/>
          <w:bCs/>
          <w:spacing w:val="-2"/>
          <w:sz w:val="24"/>
          <w:szCs w:val="24"/>
        </w:rPr>
        <w:t xml:space="preserve">Программа производственной практики (преддипломной) по специальности 38.02.03 Операционная деятельность в логистике 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B55CE1">
        <w:rPr>
          <w:rFonts w:ascii="Times New Roman" w:hAnsi="Times New Roman"/>
          <w:bCs/>
          <w:spacing w:val="-2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38.02.03 (Приказ Министерства образования и науки Российской Федерации от 28 июля 2014 г. № 834, зарегистрированного Министерством Юстиции России 21 августа 2014 № 33727), входящей в состав укрупненной группы специальностей 38.00.00 Экономика и управление, с учетом профессионального стандарта «Специалист по логистике на транспорте» (Приказ Министерства труда и социальной защиты РФ</w:t>
      </w:r>
      <w:proofErr w:type="gramEnd"/>
      <w:r w:rsidRPr="00B55CE1">
        <w:rPr>
          <w:rFonts w:ascii="Times New Roman" w:hAnsi="Times New Roman"/>
          <w:bCs/>
          <w:spacing w:val="-2"/>
          <w:sz w:val="24"/>
          <w:szCs w:val="24"/>
        </w:rPr>
        <w:t xml:space="preserve"> от 8 сентября 2014г. № 616н, </w:t>
      </w:r>
      <w:proofErr w:type="gramStart"/>
      <w:r w:rsidRPr="00B55CE1">
        <w:rPr>
          <w:rFonts w:ascii="Times New Roman" w:hAnsi="Times New Roman"/>
          <w:bCs/>
          <w:spacing w:val="-2"/>
          <w:sz w:val="24"/>
          <w:szCs w:val="24"/>
        </w:rPr>
        <w:t>зарегистрирован</w:t>
      </w:r>
      <w:proofErr w:type="gramEnd"/>
      <w:r w:rsidRPr="00B55CE1">
        <w:rPr>
          <w:rFonts w:ascii="Times New Roman" w:hAnsi="Times New Roman"/>
          <w:bCs/>
          <w:spacing w:val="-2"/>
          <w:sz w:val="24"/>
          <w:szCs w:val="24"/>
        </w:rPr>
        <w:t xml:space="preserve"> Министерством юстиции Российской Федерации от 26 сентября 2014 №34134).</w:t>
      </w:r>
    </w:p>
    <w:p w:rsidR="00B26D5C" w:rsidRPr="00B55CE1" w:rsidRDefault="00B26D5C" w:rsidP="00B55CE1">
      <w:pPr>
        <w:pStyle w:val="a6"/>
        <w:spacing w:line="240" w:lineRule="auto"/>
        <w:ind w:left="0" w:right="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C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производственной практики (преддипломной) может быть использована в дополнительном профессиональном образовании: в программах повышения квалификации и переподготовки по специальности 38.02.03 Операционная деятельность в логистике и профессиональной подготовке по профессиям: </w:t>
      </w:r>
      <w:proofErr w:type="gramStart"/>
      <w:r w:rsidRPr="00B55CE1">
        <w:rPr>
          <w:rFonts w:ascii="Times New Roman" w:hAnsi="Times New Roman"/>
          <w:color w:val="000000"/>
          <w:sz w:val="24"/>
          <w:szCs w:val="24"/>
          <w:lang w:eastAsia="ru-RU"/>
        </w:rPr>
        <w:t>-о</w:t>
      </w:r>
      <w:proofErr w:type="gramEnd"/>
      <w:r w:rsidRPr="00B55CE1">
        <w:rPr>
          <w:rFonts w:ascii="Times New Roman" w:hAnsi="Times New Roman"/>
          <w:color w:val="000000"/>
          <w:sz w:val="24"/>
          <w:szCs w:val="24"/>
          <w:lang w:eastAsia="ru-RU"/>
        </w:rPr>
        <w:t>перационный логист.</w:t>
      </w:r>
    </w:p>
    <w:p w:rsidR="00B26D5C" w:rsidRPr="00B55CE1" w:rsidRDefault="00B26D5C" w:rsidP="00B55CE1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0B0C19" w:rsidRPr="00B55CE1" w:rsidRDefault="00CF6E6E" w:rsidP="00B55CE1">
      <w:pPr>
        <w:adjustRightInd w:val="0"/>
        <w:ind w:firstLine="538"/>
        <w:jc w:val="both"/>
        <w:rPr>
          <w:sz w:val="24"/>
          <w:szCs w:val="24"/>
        </w:rPr>
      </w:pPr>
      <w:r w:rsidRPr="00B55CE1">
        <w:rPr>
          <w:b/>
          <w:bCs/>
          <w:spacing w:val="-2"/>
          <w:sz w:val="24"/>
          <w:szCs w:val="24"/>
        </w:rPr>
        <w:t xml:space="preserve">2 </w:t>
      </w:r>
      <w:r w:rsidR="00CD7574" w:rsidRPr="00B55CE1">
        <w:rPr>
          <w:b/>
          <w:bCs/>
          <w:spacing w:val="-2"/>
          <w:sz w:val="24"/>
          <w:szCs w:val="24"/>
        </w:rPr>
        <w:t>Цели и з</w:t>
      </w:r>
      <w:r w:rsidR="00EB3488" w:rsidRPr="00B55CE1">
        <w:rPr>
          <w:b/>
          <w:bCs/>
          <w:spacing w:val="-2"/>
          <w:sz w:val="24"/>
          <w:szCs w:val="24"/>
        </w:rPr>
        <w:t xml:space="preserve">адачи </w:t>
      </w:r>
      <w:r w:rsidR="00D37FEF" w:rsidRPr="00B55CE1">
        <w:rPr>
          <w:b/>
          <w:bCs/>
          <w:spacing w:val="-2"/>
          <w:sz w:val="24"/>
          <w:szCs w:val="24"/>
        </w:rPr>
        <w:t>производственной практики (преддипломной)</w:t>
      </w:r>
      <w:r w:rsidR="00CD7574" w:rsidRPr="00B55CE1">
        <w:rPr>
          <w:b/>
          <w:i/>
          <w:spacing w:val="-2"/>
          <w:sz w:val="24"/>
          <w:szCs w:val="24"/>
        </w:rPr>
        <w:t>.</w:t>
      </w:r>
      <w:r w:rsidR="00CD7574" w:rsidRPr="00B55CE1">
        <w:rPr>
          <w:spacing w:val="-2"/>
          <w:sz w:val="24"/>
          <w:szCs w:val="24"/>
        </w:rPr>
        <w:br/>
      </w:r>
      <w:r w:rsidR="000B0C19" w:rsidRPr="00B55CE1">
        <w:rPr>
          <w:sz w:val="24"/>
          <w:szCs w:val="24"/>
        </w:rPr>
        <w:t>Целью прохождения производственной практики (преддипломной) является овладение видами деятельности  ВД</w:t>
      </w:r>
      <w:proofErr w:type="gramStart"/>
      <w:r w:rsidR="000B0C19" w:rsidRPr="00B55CE1">
        <w:rPr>
          <w:sz w:val="24"/>
          <w:szCs w:val="24"/>
        </w:rPr>
        <w:t>1</w:t>
      </w:r>
      <w:proofErr w:type="gramEnd"/>
      <w:r w:rsidR="000B0C19" w:rsidRPr="00B55CE1">
        <w:rPr>
          <w:sz w:val="24"/>
          <w:szCs w:val="24"/>
        </w:rPr>
        <w:t>,ВД2,ВД3,</w:t>
      </w:r>
      <w:r w:rsidR="00B26D5C" w:rsidRPr="00B55CE1">
        <w:rPr>
          <w:sz w:val="24"/>
          <w:szCs w:val="24"/>
        </w:rPr>
        <w:t>ВД4</w:t>
      </w:r>
      <w:r w:rsidR="000B0C19" w:rsidRPr="00B55CE1">
        <w:rPr>
          <w:sz w:val="24"/>
          <w:szCs w:val="24"/>
        </w:rPr>
        <w:t xml:space="preserve">, сбор материалов для подготовки ВКР и получение практического опыта: 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-планирования и организации логистических процессов в организации (подразделениях);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определения потребностей логистической системы и ее отдельных элементов;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оперативного планирования материальных потоков на производстве;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расчетов основных параметров логистической системы;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управления логистическими процессами в закупках, производстве и распределении;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осуществления нормирования товарных запасов;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-проверки соответствия фактического наличия запасов организации в действительности данным учетных документов;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зонирования складских помещений, рационального размещения товаров на складе, организации складских работ;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участия в оперативном планировании и управлении материальными потоками в производстве;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участия в выборе вида транспортного средства, разработке смет транспортных расходов;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разработки маршрутов следования;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организации терминальных перевозок;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lastRenderedPageBreak/>
        <w:t>- оптимизации транспортных расходов;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B26D5C" w:rsidRPr="00B26D5C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оценки эффективности, координации и контроля логистических операций, процессов, систем;</w:t>
      </w:r>
    </w:p>
    <w:p w:rsidR="00BB2D8B" w:rsidRPr="00B55CE1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  <w:r w:rsidRPr="00B26D5C">
        <w:rPr>
          <w:color w:val="000000"/>
          <w:sz w:val="24"/>
          <w:szCs w:val="24"/>
          <w:lang w:eastAsia="ru-RU"/>
        </w:rPr>
        <w:t>- выявления уязвимых мест и ликвидации отклонений от плановых показателей в работе логистической системы и (или) ее отдельных элементов;</w:t>
      </w:r>
    </w:p>
    <w:p w:rsidR="00B26D5C" w:rsidRPr="00B55CE1" w:rsidRDefault="00B26D5C" w:rsidP="00B55CE1">
      <w:pPr>
        <w:widowControl/>
        <w:shd w:val="clear" w:color="auto" w:fill="FFFFFF"/>
        <w:tabs>
          <w:tab w:val="left" w:pos="426"/>
          <w:tab w:val="left" w:pos="1166"/>
        </w:tabs>
        <w:autoSpaceDE/>
        <w:autoSpaceDN/>
        <w:ind w:left="567" w:right="5"/>
        <w:jc w:val="both"/>
        <w:rPr>
          <w:color w:val="000000"/>
          <w:sz w:val="24"/>
          <w:szCs w:val="24"/>
          <w:lang w:eastAsia="ru-RU"/>
        </w:rPr>
      </w:pPr>
    </w:p>
    <w:p w:rsidR="00F86DD6" w:rsidRPr="00B55CE1" w:rsidRDefault="00F86DD6" w:rsidP="00B55CE1">
      <w:pPr>
        <w:adjustRightInd w:val="0"/>
        <w:jc w:val="both"/>
        <w:rPr>
          <w:sz w:val="24"/>
          <w:szCs w:val="24"/>
        </w:rPr>
      </w:pPr>
      <w:r w:rsidRPr="00B55CE1">
        <w:rPr>
          <w:sz w:val="24"/>
          <w:szCs w:val="24"/>
        </w:rPr>
        <w:t xml:space="preserve">Задачи преддипломной практики: </w:t>
      </w:r>
    </w:p>
    <w:p w:rsidR="00B26D5C" w:rsidRPr="00B55CE1" w:rsidRDefault="00B26D5C" w:rsidP="00B55CE1">
      <w:pPr>
        <w:adjustRightInd w:val="0"/>
        <w:ind w:firstLine="538"/>
        <w:jc w:val="both"/>
        <w:rPr>
          <w:sz w:val="24"/>
          <w:szCs w:val="24"/>
        </w:rPr>
      </w:pPr>
      <w:r w:rsidRPr="00B55CE1">
        <w:rPr>
          <w:sz w:val="24"/>
          <w:szCs w:val="24"/>
        </w:rPr>
        <w:t>- углубление первоначального профессионального опыта;</w:t>
      </w:r>
    </w:p>
    <w:p w:rsidR="00B26D5C" w:rsidRPr="00B55CE1" w:rsidRDefault="00B26D5C" w:rsidP="00B55CE1">
      <w:pPr>
        <w:adjustRightInd w:val="0"/>
        <w:ind w:firstLine="538"/>
        <w:jc w:val="both"/>
        <w:rPr>
          <w:sz w:val="24"/>
          <w:szCs w:val="24"/>
        </w:rPr>
      </w:pPr>
      <w:r w:rsidRPr="00B55CE1">
        <w:rPr>
          <w:sz w:val="24"/>
          <w:szCs w:val="24"/>
        </w:rPr>
        <w:t>-</w:t>
      </w:r>
      <w:r w:rsidRPr="00B55CE1">
        <w:rPr>
          <w:sz w:val="24"/>
          <w:szCs w:val="24"/>
        </w:rPr>
        <w:tab/>
        <w:t>развитие общих и профессиональных компетенций;</w:t>
      </w:r>
    </w:p>
    <w:p w:rsidR="00B26D5C" w:rsidRPr="00B55CE1" w:rsidRDefault="00B26D5C" w:rsidP="00B55CE1">
      <w:pPr>
        <w:adjustRightInd w:val="0"/>
        <w:ind w:firstLine="538"/>
        <w:jc w:val="both"/>
        <w:rPr>
          <w:sz w:val="24"/>
          <w:szCs w:val="24"/>
        </w:rPr>
      </w:pPr>
      <w:r w:rsidRPr="00B55CE1">
        <w:rPr>
          <w:sz w:val="24"/>
          <w:szCs w:val="24"/>
        </w:rPr>
        <w:t>-</w:t>
      </w:r>
      <w:r w:rsidRPr="00B55CE1">
        <w:rPr>
          <w:sz w:val="24"/>
          <w:szCs w:val="24"/>
        </w:rPr>
        <w:tab/>
        <w:t xml:space="preserve">проверка готовности выпускника к самостоятельной трудовой деятельности </w:t>
      </w:r>
      <w:proofErr w:type="gramStart"/>
      <w:r w:rsidRPr="00B55CE1">
        <w:rPr>
          <w:sz w:val="24"/>
          <w:szCs w:val="24"/>
        </w:rPr>
        <w:t>по</w:t>
      </w:r>
      <w:proofErr w:type="gramEnd"/>
    </w:p>
    <w:p w:rsidR="00B26D5C" w:rsidRPr="00B55CE1" w:rsidRDefault="00B26D5C" w:rsidP="00B55CE1">
      <w:pPr>
        <w:adjustRightInd w:val="0"/>
        <w:ind w:firstLine="538"/>
        <w:jc w:val="both"/>
        <w:rPr>
          <w:sz w:val="24"/>
          <w:szCs w:val="24"/>
        </w:rPr>
      </w:pPr>
      <w:r w:rsidRPr="00B55CE1">
        <w:rPr>
          <w:sz w:val="24"/>
          <w:szCs w:val="24"/>
        </w:rPr>
        <w:t>специальности 38.02.03 Операционная деятельность в логистике</w:t>
      </w:r>
    </w:p>
    <w:p w:rsidR="00B26D5C" w:rsidRPr="00B55CE1" w:rsidRDefault="00B26D5C" w:rsidP="00B55CE1">
      <w:pPr>
        <w:adjustRightInd w:val="0"/>
        <w:ind w:firstLine="538"/>
        <w:jc w:val="both"/>
        <w:rPr>
          <w:sz w:val="24"/>
          <w:szCs w:val="24"/>
        </w:rPr>
      </w:pPr>
      <w:r w:rsidRPr="00B55CE1">
        <w:rPr>
          <w:sz w:val="24"/>
          <w:szCs w:val="24"/>
        </w:rPr>
        <w:t>подготовка к выполнению вы</w:t>
      </w:r>
      <w:r w:rsidRPr="00B55CE1">
        <w:rPr>
          <w:sz w:val="24"/>
          <w:szCs w:val="24"/>
        </w:rPr>
        <w:t>пускной квалификационной работы.</w:t>
      </w:r>
    </w:p>
    <w:p w:rsidR="00B26D5C" w:rsidRPr="00B55CE1" w:rsidRDefault="00B26D5C" w:rsidP="00B55CE1">
      <w:pPr>
        <w:adjustRightInd w:val="0"/>
        <w:ind w:firstLine="538"/>
        <w:jc w:val="both"/>
        <w:rPr>
          <w:sz w:val="24"/>
          <w:szCs w:val="24"/>
        </w:rPr>
      </w:pPr>
    </w:p>
    <w:p w:rsidR="00CF6E6E" w:rsidRPr="00B55CE1" w:rsidRDefault="00CF6E6E" w:rsidP="00B55CE1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B55CE1">
        <w:rPr>
          <w:color w:val="000000"/>
          <w:sz w:val="24"/>
          <w:szCs w:val="24"/>
        </w:rPr>
        <w:t xml:space="preserve">3 </w:t>
      </w:r>
      <w:r w:rsidRPr="00B55CE1">
        <w:rPr>
          <w:b/>
          <w:color w:val="000000"/>
          <w:sz w:val="24"/>
          <w:szCs w:val="24"/>
        </w:rPr>
        <w:t xml:space="preserve">Результатом </w:t>
      </w:r>
      <w:r w:rsidR="00D37FEF" w:rsidRPr="00B55CE1">
        <w:rPr>
          <w:b/>
          <w:color w:val="000000"/>
          <w:sz w:val="24"/>
          <w:szCs w:val="24"/>
        </w:rPr>
        <w:t xml:space="preserve">производственной практики (преддипломной) </w:t>
      </w:r>
      <w:r w:rsidRPr="00B55CE1">
        <w:rPr>
          <w:b/>
          <w:color w:val="000000"/>
          <w:sz w:val="24"/>
          <w:szCs w:val="24"/>
        </w:rPr>
        <w:t>является освоение общих компетенций (</w:t>
      </w:r>
      <w:proofErr w:type="gramStart"/>
      <w:r w:rsidRPr="00B55CE1">
        <w:rPr>
          <w:b/>
          <w:color w:val="000000"/>
          <w:sz w:val="24"/>
          <w:szCs w:val="24"/>
        </w:rPr>
        <w:t>ОК</w:t>
      </w:r>
      <w:proofErr w:type="gramEnd"/>
      <w:r w:rsidRPr="00B55CE1">
        <w:rPr>
          <w:b/>
          <w:color w:val="000000"/>
          <w:sz w:val="24"/>
          <w:szCs w:val="24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CF6E6E" w:rsidRPr="00B55CE1" w:rsidTr="00B55CE1">
        <w:trPr>
          <w:trHeight w:val="579"/>
        </w:trPr>
        <w:tc>
          <w:tcPr>
            <w:tcW w:w="1271" w:type="dxa"/>
            <w:vAlign w:val="center"/>
          </w:tcPr>
          <w:p w:rsidR="00CF6E6E" w:rsidRPr="00B55CE1" w:rsidRDefault="00CF6E6E" w:rsidP="00B55CE1">
            <w:pPr>
              <w:pStyle w:val="af"/>
              <w:ind w:firstLine="567"/>
              <w:jc w:val="both"/>
            </w:pPr>
            <w:r w:rsidRPr="00B55CE1">
              <w:t>Код</w:t>
            </w:r>
          </w:p>
        </w:tc>
        <w:tc>
          <w:tcPr>
            <w:tcW w:w="8335" w:type="dxa"/>
            <w:vAlign w:val="center"/>
          </w:tcPr>
          <w:p w:rsidR="00CF6E6E" w:rsidRPr="00B55CE1" w:rsidRDefault="00CF6E6E" w:rsidP="00B55CE1">
            <w:pPr>
              <w:pStyle w:val="af"/>
              <w:ind w:firstLine="567"/>
              <w:jc w:val="both"/>
            </w:pPr>
            <w:r w:rsidRPr="00B55CE1">
              <w:t>Общие компетенции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01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02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03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04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05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06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07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08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09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10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436B2" w:rsidRPr="00B55CE1" w:rsidTr="00B55CE1">
        <w:tc>
          <w:tcPr>
            <w:tcW w:w="1271" w:type="dxa"/>
          </w:tcPr>
          <w:p w:rsidR="008436B2" w:rsidRPr="00B55CE1" w:rsidRDefault="008436B2" w:rsidP="00B55CE1">
            <w:pPr>
              <w:pStyle w:val="ad"/>
              <w:jc w:val="both"/>
            </w:pPr>
            <w:proofErr w:type="gramStart"/>
            <w:r w:rsidRPr="00B55CE1">
              <w:t>ОК</w:t>
            </w:r>
            <w:proofErr w:type="gramEnd"/>
            <w:r w:rsidRPr="00B55CE1">
              <w:t xml:space="preserve"> 11</w:t>
            </w:r>
          </w:p>
        </w:tc>
        <w:tc>
          <w:tcPr>
            <w:tcW w:w="8335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:rsidR="00CF6E6E" w:rsidRPr="00B55CE1" w:rsidRDefault="00CF6E6E" w:rsidP="00B55CE1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B55CE1" w:rsidRDefault="00CF6E6E" w:rsidP="00B55CE1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B55CE1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F6E6E" w:rsidRPr="00B55CE1" w:rsidTr="008436B2">
        <w:tc>
          <w:tcPr>
            <w:tcW w:w="1204" w:type="dxa"/>
          </w:tcPr>
          <w:p w:rsidR="00CF6E6E" w:rsidRPr="00B55CE1" w:rsidRDefault="00CF6E6E" w:rsidP="00B55CE1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B55CE1" w:rsidRDefault="00CF6E6E" w:rsidP="00B55CE1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B55CE1" w:rsidRDefault="00CF6E6E" w:rsidP="00B55CE1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Планирование и организация логистического процесса в организациях (в подразделениях) различных сфер деятельности.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pStyle w:val="ad"/>
              <w:jc w:val="both"/>
            </w:pPr>
            <w:r w:rsidRPr="00B55CE1">
              <w:t>ПК 1.1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 xml:space="preserve">Принимать участие в разработке стратегических и оперативных логистических </w:t>
            </w:r>
            <w:r w:rsidRPr="00B55CE1">
              <w:rPr>
                <w:bCs/>
                <w:iCs/>
                <w:sz w:val="24"/>
                <w:szCs w:val="24"/>
              </w:rPr>
              <w:lastRenderedPageBreak/>
              <w:t>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pStyle w:val="ad"/>
              <w:jc w:val="both"/>
            </w:pPr>
            <w:r w:rsidRPr="00B55CE1">
              <w:lastRenderedPageBreak/>
              <w:t>ПК 1.2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pStyle w:val="ad"/>
              <w:jc w:val="both"/>
            </w:pPr>
            <w:r w:rsidRPr="00B55CE1">
              <w:t>ПК 1.3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pStyle w:val="ad"/>
              <w:jc w:val="both"/>
            </w:pPr>
            <w:r w:rsidRPr="00B55CE1">
              <w:t>ПК 1.4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pStyle w:val="ad"/>
              <w:jc w:val="both"/>
            </w:pPr>
            <w:r w:rsidRPr="00B55CE1">
              <w:t>ПК 1.5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Управление логистическими процессами в закупках, производстве и распределении.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Использовать различные модели и методы управления запасами.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B55CE1">
              <w:rPr>
                <w:bCs/>
                <w:iCs/>
                <w:sz w:val="24"/>
                <w:szCs w:val="24"/>
              </w:rPr>
              <w:t>грузопереработкой</w:t>
            </w:r>
            <w:proofErr w:type="spellEnd"/>
            <w:r w:rsidRPr="00B55CE1">
              <w:rPr>
                <w:bCs/>
                <w:iCs/>
                <w:sz w:val="24"/>
                <w:szCs w:val="24"/>
              </w:rPr>
              <w:t>, упаковкой, сервисом.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Оптимизация ресурсов организации (подразделения), связанных с управлением материальными и нематериальными потоками.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Рассчитывать и анализировать логистические издержки.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ВД  4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5CE1">
              <w:rPr>
                <w:b/>
                <w:bCs/>
                <w:iCs/>
                <w:sz w:val="24"/>
                <w:szCs w:val="24"/>
              </w:rPr>
              <w:t>Оценка эффективности работы логистических систем и контроль логистических операций.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Проводить контроль выполнения и экспедирования заказов.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8436B2" w:rsidRPr="00B55CE1" w:rsidTr="008436B2">
        <w:tc>
          <w:tcPr>
            <w:tcW w:w="1204" w:type="dxa"/>
          </w:tcPr>
          <w:p w:rsidR="008436B2" w:rsidRPr="00B55CE1" w:rsidRDefault="008436B2" w:rsidP="00B55CE1">
            <w:pPr>
              <w:jc w:val="both"/>
              <w:rPr>
                <w:sz w:val="24"/>
                <w:szCs w:val="24"/>
              </w:rPr>
            </w:pPr>
            <w:r w:rsidRPr="00B55CE1">
              <w:rPr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:rsidR="008436B2" w:rsidRPr="00B55CE1" w:rsidRDefault="008436B2" w:rsidP="00B55CE1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55CE1">
              <w:rPr>
                <w:bCs/>
                <w:iCs/>
                <w:sz w:val="24"/>
                <w:szCs w:val="24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</w:tbl>
    <w:p w:rsidR="00CF6E6E" w:rsidRPr="00B55CE1" w:rsidRDefault="00CF6E6E" w:rsidP="00B55CE1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B55CE1" w:rsidRDefault="00CF6E6E" w:rsidP="00B55CE1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D37FEF" w:rsidRPr="00B55CE1" w:rsidRDefault="00D37FEF" w:rsidP="00B55CE1">
      <w:pPr>
        <w:shd w:val="clear" w:color="auto" w:fill="FFFFFF"/>
        <w:tabs>
          <w:tab w:val="left" w:pos="567"/>
        </w:tabs>
        <w:ind w:right="10" w:firstLine="567"/>
        <w:jc w:val="both"/>
        <w:rPr>
          <w:b/>
          <w:bCs/>
          <w:color w:val="000000"/>
          <w:sz w:val="24"/>
          <w:szCs w:val="24"/>
        </w:rPr>
      </w:pPr>
    </w:p>
    <w:p w:rsidR="00CF6E6E" w:rsidRPr="00B55CE1" w:rsidRDefault="00CF6E6E" w:rsidP="00B55CE1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B55CE1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B55CE1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="00B55CE1">
        <w:rPr>
          <w:b/>
          <w:bCs/>
          <w:iCs/>
          <w:color w:val="000000"/>
          <w:sz w:val="24"/>
          <w:szCs w:val="24"/>
        </w:rPr>
        <w:t>:</w:t>
      </w:r>
      <w:bookmarkStart w:id="0" w:name="_GoBack"/>
      <w:bookmarkEnd w:id="0"/>
    </w:p>
    <w:p w:rsidR="00CF6E6E" w:rsidRPr="00B55CE1" w:rsidRDefault="00CF6E6E" w:rsidP="00B55CE1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B55CE1">
        <w:rPr>
          <w:color w:val="000000"/>
          <w:sz w:val="24"/>
          <w:szCs w:val="24"/>
        </w:rPr>
        <w:t xml:space="preserve">Всего </w:t>
      </w:r>
      <w:r w:rsidR="008436B2" w:rsidRPr="00B55CE1">
        <w:rPr>
          <w:color w:val="000000"/>
          <w:sz w:val="24"/>
          <w:szCs w:val="24"/>
        </w:rPr>
        <w:t>144</w:t>
      </w:r>
      <w:r w:rsidR="00D93F40" w:rsidRPr="00B55CE1">
        <w:rPr>
          <w:color w:val="000000"/>
          <w:sz w:val="24"/>
          <w:szCs w:val="24"/>
        </w:rPr>
        <w:t xml:space="preserve"> </w:t>
      </w:r>
      <w:r w:rsidR="00453DCC" w:rsidRPr="00B55CE1">
        <w:rPr>
          <w:color w:val="000000"/>
          <w:sz w:val="24"/>
          <w:szCs w:val="24"/>
        </w:rPr>
        <w:t xml:space="preserve">часа. </w:t>
      </w:r>
    </w:p>
    <w:p w:rsidR="00CD7574" w:rsidRPr="00B55CE1" w:rsidRDefault="00CD7574" w:rsidP="00B55CE1">
      <w:pPr>
        <w:ind w:firstLine="567"/>
        <w:jc w:val="both"/>
        <w:rPr>
          <w:b/>
          <w:sz w:val="24"/>
          <w:szCs w:val="24"/>
        </w:rPr>
      </w:pPr>
    </w:p>
    <w:p w:rsidR="00740597" w:rsidRPr="00B55CE1" w:rsidRDefault="00CF6E6E" w:rsidP="00B55CE1">
      <w:pPr>
        <w:ind w:firstLine="567"/>
        <w:jc w:val="both"/>
        <w:rPr>
          <w:b/>
          <w:sz w:val="24"/>
          <w:szCs w:val="24"/>
        </w:rPr>
      </w:pPr>
      <w:r w:rsidRPr="00B55CE1">
        <w:rPr>
          <w:b/>
          <w:sz w:val="24"/>
          <w:szCs w:val="24"/>
        </w:rPr>
        <w:t xml:space="preserve">5 </w:t>
      </w:r>
      <w:r w:rsidR="00740597" w:rsidRPr="00B55CE1">
        <w:rPr>
          <w:b/>
          <w:sz w:val="24"/>
          <w:szCs w:val="24"/>
        </w:rPr>
        <w:t xml:space="preserve">Виды работ </w:t>
      </w:r>
      <w:r w:rsidR="00D37FEF" w:rsidRPr="00B55CE1">
        <w:rPr>
          <w:b/>
          <w:sz w:val="24"/>
          <w:szCs w:val="24"/>
        </w:rPr>
        <w:t>производственной практики (преддипломной).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CE1">
        <w:rPr>
          <w:rFonts w:ascii="Times New Roman" w:hAnsi="Times New Roman"/>
          <w:sz w:val="24"/>
          <w:szCs w:val="24"/>
        </w:rPr>
        <w:t>Организационно-экономическая характеристика предприятия.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CE1">
        <w:rPr>
          <w:rFonts w:ascii="Times New Roman" w:hAnsi="Times New Roman"/>
          <w:color w:val="000000"/>
          <w:sz w:val="24"/>
          <w:szCs w:val="24"/>
        </w:rPr>
        <w:t xml:space="preserve">Планирование и организация документооборота в рамках участка логистической </w:t>
      </w:r>
      <w:r w:rsidRPr="00B55CE1">
        <w:rPr>
          <w:rFonts w:ascii="Times New Roman" w:hAnsi="Times New Roman"/>
          <w:color w:val="000000"/>
          <w:sz w:val="24"/>
          <w:szCs w:val="24"/>
        </w:rPr>
        <w:lastRenderedPageBreak/>
        <w:t>системы</w:t>
      </w:r>
      <w:r w:rsidRPr="00B55CE1">
        <w:rPr>
          <w:rFonts w:ascii="Times New Roman" w:hAnsi="Times New Roman"/>
          <w:color w:val="000000"/>
          <w:sz w:val="24"/>
          <w:szCs w:val="24"/>
        </w:rPr>
        <w:t>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CE1">
        <w:rPr>
          <w:rFonts w:ascii="Times New Roman" w:hAnsi="Times New Roman"/>
          <w:sz w:val="24"/>
          <w:szCs w:val="24"/>
        </w:rPr>
        <w:t>Выбор поставщиков, определение типа посредников и каналов распределения.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CE1">
        <w:rPr>
          <w:rFonts w:ascii="Times New Roman" w:hAnsi="Times New Roman"/>
          <w:iCs/>
          <w:sz w:val="24"/>
          <w:szCs w:val="24"/>
        </w:rPr>
        <w:t>Основы оперативного планирования и организация материальных потоков на производстве.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CE1">
        <w:rPr>
          <w:rFonts w:ascii="Times New Roman" w:hAnsi="Times New Roman"/>
          <w:sz w:val="24"/>
          <w:szCs w:val="24"/>
        </w:rPr>
        <w:t xml:space="preserve">Управление заказами, запасами транспортировкой, складированием, </w:t>
      </w:r>
      <w:proofErr w:type="spellStart"/>
      <w:r w:rsidRPr="00B55CE1">
        <w:rPr>
          <w:rFonts w:ascii="Times New Roman" w:hAnsi="Times New Roman"/>
          <w:sz w:val="24"/>
          <w:szCs w:val="24"/>
        </w:rPr>
        <w:t>грузопереработкой</w:t>
      </w:r>
      <w:proofErr w:type="spellEnd"/>
      <w:r w:rsidRPr="00B55CE1">
        <w:rPr>
          <w:rFonts w:ascii="Times New Roman" w:hAnsi="Times New Roman"/>
          <w:sz w:val="24"/>
          <w:szCs w:val="24"/>
        </w:rPr>
        <w:t>, упаковкой, сервисом.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CE1">
        <w:rPr>
          <w:rFonts w:ascii="Times New Roman" w:hAnsi="Times New Roman"/>
          <w:sz w:val="24"/>
          <w:szCs w:val="24"/>
        </w:rPr>
        <w:t>Оценка эффективности функционирования элементов логистической системы.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CE1">
        <w:rPr>
          <w:rFonts w:ascii="Times New Roman" w:hAnsi="Times New Roman"/>
          <w:sz w:val="24"/>
          <w:szCs w:val="24"/>
        </w:rPr>
        <w:t>Мониторинг показателей работы на уровне подразделения (участка) логистической системы.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CE1">
        <w:rPr>
          <w:rFonts w:ascii="Times New Roman" w:hAnsi="Times New Roman"/>
          <w:sz w:val="24"/>
          <w:szCs w:val="24"/>
        </w:rPr>
        <w:t>Планирование логистических бизнес-процессов.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CE1">
        <w:rPr>
          <w:rFonts w:ascii="Times New Roman" w:hAnsi="Times New Roman"/>
          <w:sz w:val="24"/>
          <w:szCs w:val="24"/>
        </w:rPr>
        <w:t>Современные технологии управления в логистических системах.</w:t>
      </w:r>
    </w:p>
    <w:p w:rsidR="008436B2" w:rsidRPr="00B55CE1" w:rsidRDefault="008436B2" w:rsidP="00B55CE1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CE1">
        <w:rPr>
          <w:rFonts w:ascii="Times New Roman" w:hAnsi="Times New Roman"/>
          <w:sz w:val="24"/>
          <w:szCs w:val="24"/>
        </w:rPr>
        <w:t xml:space="preserve">Выполнение работ, связанных с подготовкой выпускной квалификационной </w:t>
      </w:r>
      <w:r w:rsidRPr="00B55CE1">
        <w:rPr>
          <w:rFonts w:ascii="Times New Roman" w:hAnsi="Times New Roman"/>
          <w:sz w:val="24"/>
          <w:szCs w:val="24"/>
        </w:rPr>
        <w:t>работы, выполнение индивидуального задания в соответствии с темой ВКР</w:t>
      </w:r>
      <w:r w:rsidRPr="00B55CE1">
        <w:rPr>
          <w:rFonts w:ascii="Times New Roman" w:hAnsi="Times New Roman"/>
          <w:sz w:val="24"/>
          <w:szCs w:val="24"/>
        </w:rPr>
        <w:t>.</w:t>
      </w:r>
    </w:p>
    <w:p w:rsidR="001D5D38" w:rsidRPr="00B55CE1" w:rsidRDefault="001D5D38" w:rsidP="00B55CE1">
      <w:pPr>
        <w:jc w:val="both"/>
        <w:rPr>
          <w:rFonts w:eastAsiaTheme="minorHAnsi"/>
          <w:color w:val="000000"/>
          <w:sz w:val="24"/>
          <w:szCs w:val="24"/>
        </w:rPr>
      </w:pPr>
    </w:p>
    <w:p w:rsidR="008C6CD6" w:rsidRPr="00B55CE1" w:rsidRDefault="004C1AAB" w:rsidP="00B55CE1">
      <w:pPr>
        <w:ind w:firstLine="567"/>
        <w:jc w:val="both"/>
        <w:rPr>
          <w:sz w:val="24"/>
          <w:szCs w:val="24"/>
        </w:rPr>
      </w:pPr>
      <w:r w:rsidRPr="00B55CE1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53083" w:rsidRPr="00B55CE1">
        <w:rPr>
          <w:sz w:val="24"/>
          <w:szCs w:val="24"/>
        </w:rPr>
        <w:t xml:space="preserve"> дифференцированный зачет.</w:t>
      </w:r>
    </w:p>
    <w:p w:rsidR="00D93F40" w:rsidRPr="00B55CE1" w:rsidRDefault="00D93F40" w:rsidP="00B55CE1">
      <w:pPr>
        <w:ind w:firstLine="567"/>
        <w:jc w:val="both"/>
        <w:rPr>
          <w:sz w:val="24"/>
          <w:szCs w:val="24"/>
        </w:rPr>
      </w:pPr>
    </w:p>
    <w:sectPr w:rsidR="00D93F40" w:rsidRPr="00B55CE1" w:rsidSect="00D93F40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D7EDB"/>
    <w:multiLevelType w:val="multilevel"/>
    <w:tmpl w:val="EC5C25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0C19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3379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36B2"/>
    <w:rsid w:val="00844ED2"/>
    <w:rsid w:val="00846724"/>
    <w:rsid w:val="008478FE"/>
    <w:rsid w:val="00851107"/>
    <w:rsid w:val="008524A5"/>
    <w:rsid w:val="00853083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26D5C"/>
    <w:rsid w:val="00B325D3"/>
    <w:rsid w:val="00B3618C"/>
    <w:rsid w:val="00B556F6"/>
    <w:rsid w:val="00B55CE1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E454-9257-485F-A6CC-AD3C5510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Альбина Ярулловна Мусякаева</cp:lastModifiedBy>
  <cp:revision>21</cp:revision>
  <cp:lastPrinted>2021-02-04T07:16:00Z</cp:lastPrinted>
  <dcterms:created xsi:type="dcterms:W3CDTF">2021-02-04T06:04:00Z</dcterms:created>
  <dcterms:modified xsi:type="dcterms:W3CDTF">2021-02-10T06:50:00Z</dcterms:modified>
</cp:coreProperties>
</file>